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pPr>
      <w:r w:rsidDel="00000000" w:rsidR="00000000" w:rsidRPr="00000000">
        <w:rPr>
          <w:rtl w:val="0"/>
        </w:rPr>
      </w:r>
    </w:p>
    <w:p w:rsidR="00000000" w:rsidDel="00000000" w:rsidP="00000000" w:rsidRDefault="00000000" w:rsidRPr="00000000" w14:paraId="00000002">
      <w:pPr>
        <w:numPr>
          <w:ilvl w:val="0"/>
          <w:numId w:val="4"/>
        </w:numPr>
        <w:spacing w:before="0" w:line="360" w:lineRule="auto"/>
        <w:jc w:val="both"/>
        <w:rPr>
          <w:rFonts w:ascii="Tahoma" w:cs="Tahoma" w:eastAsia="Tahoma" w:hAnsi="Tahoma"/>
          <w:b w:val="1"/>
          <w:sz w:val="28"/>
          <w:szCs w:val="28"/>
          <w:u w:val="single"/>
        </w:rPr>
      </w:pPr>
      <w:r w:rsidDel="00000000" w:rsidR="00000000" w:rsidRPr="00000000">
        <w:rPr>
          <w:rFonts w:ascii="Tahoma" w:cs="Tahoma" w:eastAsia="Tahoma" w:hAnsi="Tahoma"/>
          <w:b w:val="1"/>
          <w:color w:val="000000"/>
          <w:sz w:val="28"/>
          <w:szCs w:val="28"/>
          <w:u w:val="single"/>
          <w:rtl w:val="0"/>
        </w:rPr>
        <w:t xml:space="preserve">DISCOURS </w:t>
      </w:r>
      <w:r w:rsidDel="00000000" w:rsidR="00000000" w:rsidRPr="00000000">
        <w:rPr>
          <w:rFonts w:ascii="Tahoma" w:cs="Tahoma" w:eastAsia="Tahoma" w:hAnsi="Tahoma"/>
          <w:b w:val="1"/>
          <w:sz w:val="28"/>
          <w:szCs w:val="28"/>
          <w:u w:val="single"/>
          <w:rtl w:val="0"/>
        </w:rPr>
        <w:t xml:space="preserve">D</w:t>
      </w:r>
      <w:r w:rsidDel="00000000" w:rsidR="00000000" w:rsidRPr="00000000">
        <w:rPr>
          <w:rFonts w:ascii="Tahoma" w:cs="Tahoma" w:eastAsia="Tahoma" w:hAnsi="Tahoma"/>
          <w:b w:val="1"/>
          <w:sz w:val="28"/>
          <w:szCs w:val="28"/>
          <w:u w:val="single"/>
          <w:rtl w:val="0"/>
        </w:rPr>
        <w:t xml:space="preserve">’OUVERTURE À LA </w:t>
      </w:r>
      <w:r w:rsidDel="00000000" w:rsidR="00000000" w:rsidRPr="00000000">
        <w:rPr>
          <w:rFonts w:ascii="Tahoma" w:cs="Tahoma" w:eastAsia="Tahoma" w:hAnsi="Tahoma"/>
          <w:b w:val="1"/>
          <w:color w:val="000000"/>
          <w:sz w:val="28"/>
          <w:szCs w:val="28"/>
          <w:u w:val="single"/>
          <w:rtl w:val="0"/>
        </w:rPr>
        <w:t xml:space="preserve">29e CONFÉRENCE DES DIRECTEURS GÉNÉRAUX DE L’ORGANISATION MONDIALE DES DOUANES POUR L’AFRIQUE DE L’OUEST ET CENTRALE PAR LE VICE-PRÉSIDENT COL HAMEED IBRAHIM ALI (RTD) CFR À BANJUL, GAMBIE LE 4  </w:t>
      </w:r>
    </w:p>
    <w:p w:rsidR="00000000" w:rsidDel="00000000" w:rsidP="00000000" w:rsidRDefault="00000000" w:rsidRPr="00000000" w14:paraId="00000003">
      <w:pPr>
        <w:pStyle w:val="Heading1"/>
        <w:numPr>
          <w:ilvl w:val="0"/>
          <w:numId w:val="4"/>
        </w:numPr>
        <w:spacing w:before="0" w:line="360" w:lineRule="auto"/>
        <w:ind w:left="0" w:firstLine="0"/>
        <w:jc w:val="both"/>
        <w:rPr>
          <w:rFonts w:ascii="Tahoma" w:cs="Tahoma" w:eastAsia="Tahoma" w:hAnsi="Tahoma"/>
          <w:b w:val="1"/>
          <w:color w:val="000000"/>
          <w:sz w:val="28"/>
          <w:szCs w:val="28"/>
          <w:u w:val="single"/>
        </w:rPr>
      </w:pPr>
      <w:r w:rsidDel="00000000" w:rsidR="00000000" w:rsidRPr="00000000">
        <w:rPr>
          <w:rFonts w:ascii="Tahoma" w:cs="Tahoma" w:eastAsia="Tahoma" w:hAnsi="Tahoma"/>
          <w:b w:val="1"/>
          <w:color w:val="000000"/>
          <w:sz w:val="28"/>
          <w:szCs w:val="28"/>
          <w:u w:val="single"/>
          <w:rtl w:val="0"/>
        </w:rPr>
        <w:t xml:space="preserve">MAI 2023</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Le Président Son Excellence ADAMA BARROW</w:t>
      </w:r>
    </w:p>
    <w:p w:rsidR="00000000" w:rsidDel="00000000" w:rsidP="00000000" w:rsidRDefault="00000000" w:rsidRPr="00000000" w14:paraId="000000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Le ministre des Finances et des Affaires économiques et d’autres hauts fonctionnaires gambiens </w:t>
      </w:r>
    </w:p>
    <w:p w:rsidR="00000000" w:rsidDel="00000000" w:rsidP="00000000" w:rsidRDefault="00000000" w:rsidRPr="00000000" w14:paraId="000000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Le Secrétaire général, Organisation mondiale des douanes Dr Kunio Mikuriya</w:t>
      </w:r>
    </w:p>
    <w:p w:rsidR="00000000" w:rsidDel="00000000" w:rsidP="00000000" w:rsidRDefault="00000000" w:rsidRPr="00000000" w14:paraId="000000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Le Président de la Commission de la CEDEAO</w:t>
      </w:r>
    </w:p>
    <w:p w:rsidR="00000000" w:rsidDel="00000000" w:rsidP="00000000" w:rsidRDefault="00000000" w:rsidRPr="00000000" w14:paraId="000000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Le Président de la Communauté économique et monétaire centrafricaine (CEMAC)</w:t>
      </w:r>
    </w:p>
    <w:p w:rsidR="00000000" w:rsidDel="00000000" w:rsidP="00000000" w:rsidRDefault="00000000" w:rsidRPr="00000000" w14:paraId="000000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Les Directeurs Généraux des Douanes, Afrique de l’Ouest et du Centre (</w:t>
      </w:r>
      <w:r w:rsidDel="00000000" w:rsidR="00000000" w:rsidRPr="00000000">
        <w:rPr>
          <w:rFonts w:ascii="Tahoma" w:cs="Tahoma" w:eastAsia="Tahoma" w:hAnsi="Tahoma"/>
          <w:sz w:val="28"/>
          <w:szCs w:val="28"/>
          <w:rtl w:val="0"/>
        </w:rPr>
        <w:t xml:space="preserve">AOC</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Le Commissaire du Développement économique Commerce Tourisme Industrie et Minéraux Commission de l’Union africaine</w:t>
      </w:r>
    </w:p>
    <w:p w:rsidR="00000000" w:rsidDel="00000000" w:rsidP="00000000" w:rsidRDefault="00000000" w:rsidRPr="00000000" w14:paraId="0000000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Le Directeur du développement régional d</w:t>
      </w:r>
      <w:r w:rsidDel="00000000" w:rsidR="00000000" w:rsidRPr="00000000">
        <w:rPr>
          <w:rFonts w:ascii="Tahoma" w:cs="Tahoma" w:eastAsia="Tahoma" w:hAnsi="Tahoma"/>
          <w:sz w:val="28"/>
          <w:szCs w:val="28"/>
          <w:rtl w:val="0"/>
        </w:rPr>
        <w:t xml:space="preserve">e l’OMD</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w:t>
      </w:r>
      <w:r w:rsidDel="00000000" w:rsidR="00000000" w:rsidRPr="00000000">
        <w:rPr>
          <w:rFonts w:ascii="Tahoma" w:cs="Tahoma" w:eastAsia="Tahoma" w:hAnsi="Tahoma"/>
          <w:sz w:val="28"/>
          <w:szCs w:val="28"/>
          <w:rtl w:val="0"/>
        </w:rPr>
        <w:t xml:space="preserve">AOC</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highlight w:val="white"/>
          <w:u w:val="none"/>
          <w:vertAlign w:val="baseline"/>
          <w:rtl w:val="0"/>
        </w:rPr>
        <w:t xml:space="preserve">Les représentants de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highlight w:val="white"/>
          <w:u w:val="none"/>
          <w:vertAlign w:val="baseline"/>
          <w:rtl w:val="0"/>
        </w:rPr>
        <w:t xml:space="preserve">Conférence des Nations unies sur le commerce et le développement</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 (CNUCED) </w:t>
      </w:r>
    </w:p>
    <w:p w:rsidR="00000000" w:rsidDel="00000000" w:rsidP="00000000" w:rsidRDefault="00000000" w:rsidRPr="00000000" w14:paraId="0000000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highlight w:val="white"/>
          <w:u w:val="none"/>
          <w:vertAlign w:val="baseline"/>
          <w:rtl w:val="0"/>
        </w:rPr>
        <w:t xml:space="preserve">Centres d’assistance technique régionaux africains (AFTITAC) Ouest II,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highlight w:val="white"/>
          <w:u w:val="none"/>
          <w:vertAlign w:val="baseline"/>
          <w:rtl w:val="0"/>
        </w:rPr>
        <w:t xml:space="preserve">Agence</w:t>
      </w:r>
      <w:r w:rsidDel="00000000" w:rsidR="00000000" w:rsidRPr="00000000">
        <w:rPr>
          <w:rFonts w:ascii="Tahoma" w:cs="Tahoma" w:eastAsia="Tahoma" w:hAnsi="Tahoma"/>
          <w:b w:val="0"/>
          <w:i w:val="0"/>
          <w:smallCaps w:val="0"/>
          <w:strike w:val="0"/>
          <w:color w:val="202124"/>
          <w:sz w:val="28"/>
          <w:szCs w:val="28"/>
          <w:highlight w:val="white"/>
          <w:u w:val="none"/>
          <w:vertAlign w:val="baseline"/>
          <w:rtl w:val="0"/>
        </w:rPr>
        <w:t xml:space="preserve"> japonaise de coopération internationale</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 (JICA)</w:t>
      </w:r>
    </w:p>
    <w:p w:rsidR="00000000" w:rsidDel="00000000" w:rsidP="00000000" w:rsidRDefault="00000000" w:rsidRPr="00000000" w14:paraId="0000001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Programme de lutte contre la corruption et l’intégrité</w:t>
      </w:r>
    </w:p>
    <w:p w:rsidR="00000000" w:rsidDel="00000000" w:rsidP="00000000" w:rsidRDefault="00000000" w:rsidRPr="00000000" w14:paraId="000000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Autres partenaires de développement</w:t>
      </w:r>
    </w:p>
    <w:p w:rsidR="00000000" w:rsidDel="00000000" w:rsidP="00000000" w:rsidRDefault="00000000" w:rsidRPr="00000000" w14:paraId="000000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Invités des autres administrations douanières</w:t>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highlight w:val="white"/>
          <w:u w:val="none"/>
          <w:vertAlign w:val="baseline"/>
          <w:rtl w:val="0"/>
        </w:rPr>
        <w:t xml:space="preserve">Le Directeur </w:t>
      </w:r>
      <w:r w:rsidDel="00000000" w:rsidR="00000000" w:rsidRPr="00000000">
        <w:rPr>
          <w:rFonts w:ascii="Tahoma" w:cs="Tahoma" w:eastAsia="Tahoma" w:hAnsi="Tahoma"/>
          <w:sz w:val="28"/>
          <w:szCs w:val="28"/>
          <w:highlight w:val="white"/>
          <w:rtl w:val="0"/>
        </w:rPr>
        <w:t xml:space="preserve">BRRC</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highlight w:val="white"/>
          <w:u w:val="none"/>
          <w:vertAlign w:val="baseline"/>
          <w:rtl w:val="0"/>
        </w:rPr>
        <w:t xml:space="preserve">Les directeurs des institutions régionales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Membres des comités des finances et de la vérification</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Membres du Comité d’experts</w:t>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highlight w:val="white"/>
          <w:u w:val="none"/>
          <w:vertAlign w:val="baseline"/>
          <w:rtl w:val="0"/>
        </w:rPr>
        <w:t xml:space="preserve">Autres hauts fonctionnaires de l</w:t>
      </w:r>
      <w:r w:rsidDel="00000000" w:rsidR="00000000" w:rsidRPr="00000000">
        <w:rPr>
          <w:rFonts w:ascii="Tahoma" w:cs="Tahoma" w:eastAsia="Tahoma" w:hAnsi="Tahoma"/>
          <w:sz w:val="28"/>
          <w:szCs w:val="28"/>
          <w:highlight w:val="white"/>
          <w:rtl w:val="0"/>
        </w:rPr>
        <w:t xml:space="preserve">’Administration fiscale gambienne (</w:t>
      </w:r>
      <w:r w:rsidDel="00000000" w:rsidR="00000000" w:rsidRPr="00000000">
        <w:rPr>
          <w:rFonts w:ascii="Tahoma" w:cs="Tahoma" w:eastAsia="Tahoma" w:hAnsi="Tahoma"/>
          <w:b w:val="0"/>
          <w:i w:val="0"/>
          <w:smallCaps w:val="0"/>
          <w:strike w:val="0"/>
          <w:color w:val="000000"/>
          <w:sz w:val="28"/>
          <w:szCs w:val="28"/>
          <w:highlight w:val="white"/>
          <w:u w:val="none"/>
          <w:vertAlign w:val="baseline"/>
          <w:rtl w:val="0"/>
        </w:rPr>
        <w:t xml:space="preserve">Gambian Revenue Authority)</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Distingués invités</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Messieurs de la presse</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Mesdames et Messieurs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numPr>
          <w:ilvl w:val="0"/>
          <w:numId w:val="2"/>
        </w:numPr>
        <w:spacing w:line="360" w:lineRule="auto"/>
        <w:ind w:left="0" w:firstLine="0"/>
        <w:jc w:val="both"/>
        <w:rPr>
          <w:rFonts w:ascii="Tahoma" w:cs="Tahoma" w:eastAsia="Tahoma" w:hAnsi="Tahoma"/>
          <w:sz w:val="28"/>
          <w:szCs w:val="28"/>
        </w:rPr>
      </w:pPr>
      <w:r w:rsidDel="00000000" w:rsidR="00000000" w:rsidRPr="00000000">
        <w:rPr>
          <w:rFonts w:ascii="Tahoma" w:cs="Tahoma" w:eastAsia="Tahoma" w:hAnsi="Tahoma"/>
          <w:sz w:val="28"/>
          <w:szCs w:val="28"/>
          <w:rtl w:val="0"/>
        </w:rPr>
        <w:t xml:space="preserve">Je suis honoré et privilégié de me présenter devant vous aujourd’hui. Je me joins à mon collègue et frère, le Directeur Général et le personnel de la Gambie Revenue Authority pour vous souhaiter la bienvenue en cette heureuse occasion de la 29ème Conférence des Directeurs Généraux de l’Organisation Mondiale des Douanes (Région Afrique de l’Ouest et Centrale).</w:t>
      </w:r>
    </w:p>
    <w:p w:rsidR="00000000" w:rsidDel="00000000" w:rsidP="00000000" w:rsidRDefault="00000000" w:rsidRPr="00000000" w14:paraId="0000001E">
      <w:pPr>
        <w:spacing w:line="360" w:lineRule="auto"/>
        <w:jc w:val="both"/>
        <w:rPr>
          <w:rFonts w:ascii="Tahoma" w:cs="Tahoma" w:eastAsia="Tahoma" w:hAnsi="Tahoma"/>
          <w:sz w:val="28"/>
          <w:szCs w:val="28"/>
        </w:rPr>
      </w:pPr>
      <w:r w:rsidDel="00000000" w:rsidR="00000000" w:rsidRPr="00000000">
        <w:rPr>
          <w:rtl w:val="0"/>
        </w:rPr>
      </w:r>
    </w:p>
    <w:p w:rsidR="00000000" w:rsidDel="00000000" w:rsidP="00000000" w:rsidRDefault="00000000" w:rsidRPr="00000000" w14:paraId="0000001F">
      <w:pPr>
        <w:numPr>
          <w:ilvl w:val="0"/>
          <w:numId w:val="3"/>
        </w:numPr>
        <w:spacing w:line="360" w:lineRule="auto"/>
        <w:ind w:left="0" w:firstLine="0"/>
        <w:jc w:val="both"/>
        <w:rPr>
          <w:rFonts w:ascii="Tahoma" w:cs="Tahoma" w:eastAsia="Tahoma" w:hAnsi="Tahoma"/>
          <w:sz w:val="28"/>
          <w:szCs w:val="28"/>
        </w:rPr>
      </w:pPr>
      <w:r w:rsidDel="00000000" w:rsidR="00000000" w:rsidRPr="00000000">
        <w:rPr>
          <w:rFonts w:ascii="Tahoma" w:cs="Tahoma" w:eastAsia="Tahoma" w:hAnsi="Tahoma"/>
          <w:sz w:val="28"/>
          <w:szCs w:val="28"/>
          <w:rtl w:val="0"/>
        </w:rPr>
        <w:t xml:space="preserve">Il y a exactement un an, nous nous sommes réunis à Brazzaville pour discuter de la meilleure façon de faire progresser notre région en matière de commerce et de développement économique. Nous sommes reconnaissants à Dieu de nous avoir accordé toutes les miséricordes de voyage de nos différents pays à la belle ville de Banjul. Il est tout aussi réconfortant pour nous tous de voir la manifestation d’un haut niveau de volonté politique dont jouit notre hôte, la Gambian Revenue Authority, grâce à la présence favorable de Son Excellence, le président de Gambai, Adama Barow.</w:t>
      </w:r>
    </w:p>
    <w:p w:rsidR="00000000" w:rsidDel="00000000" w:rsidP="00000000" w:rsidRDefault="00000000" w:rsidRPr="00000000" w14:paraId="00000020">
      <w:pPr>
        <w:spacing w:line="360" w:lineRule="auto"/>
        <w:jc w:val="both"/>
        <w:rPr>
          <w:rFonts w:ascii="Tahoma" w:cs="Tahoma" w:eastAsia="Tahoma" w:hAnsi="Tahoma"/>
          <w:sz w:val="28"/>
          <w:szCs w:val="28"/>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3.  </w:t>
        <w:tab/>
        <w:t xml:space="preserve">Votre Excellence, plusieurs de nos délégués ont vécu de longues heures de vol, de correspondance et de transit pour arriver ici. Rien n’est plus gratifiant que la présence de Votre Excellence dans cette salle pour déclarer nos délibérations ouvertes. Au nom de tous les Directeurs généraux des douanes de notre région et, en fait, de tous les participants à cette Conférence, je tiens à vous exprimer notre profonde gratitude, Monsieur le Président, pour avoir pris le temps, malgré votre horaire serré, de profiter de cette occasion. Votre Excellence, nous sommes très heureux de vous compter parmi nous. Nous vous remercions sincèrement de votre soutien continu à la </w:t>
      </w:r>
      <w:r w:rsidDel="00000000" w:rsidR="00000000" w:rsidRPr="00000000">
        <w:rPr>
          <w:rFonts w:ascii="Tahoma" w:cs="Tahoma" w:eastAsia="Tahoma" w:hAnsi="Tahoma"/>
          <w:b w:val="0"/>
          <w:i w:val="1"/>
          <w:smallCaps w:val="0"/>
          <w:strike w:val="0"/>
          <w:color w:val="000000"/>
          <w:sz w:val="28"/>
          <w:szCs w:val="28"/>
          <w:u w:val="none"/>
          <w:shd w:fill="auto" w:val="clear"/>
          <w:vertAlign w:val="baseline"/>
          <w:rtl w:val="0"/>
        </w:rPr>
        <w:t xml:space="preserve">Gambian Revenue Authority</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 Nous remercions également l’honorable ministre des Finances et des Affaires économiques ainsi que d’autres hauts fonctionnaires qui se sont joints à nous à cette conférence historique.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numPr>
          <w:ilvl w:val="0"/>
          <w:numId w:val="1"/>
        </w:numPr>
        <w:spacing w:line="360" w:lineRule="auto"/>
        <w:ind w:left="0" w:firstLine="0"/>
        <w:jc w:val="both"/>
        <w:rPr>
          <w:rFonts w:ascii="Tahoma" w:cs="Tahoma" w:eastAsia="Tahoma" w:hAnsi="Tahoma"/>
          <w:sz w:val="28"/>
          <w:szCs w:val="28"/>
        </w:rPr>
      </w:pPr>
      <w:r w:rsidDel="00000000" w:rsidR="00000000" w:rsidRPr="00000000">
        <w:rPr>
          <w:rFonts w:ascii="Tahoma" w:cs="Tahoma" w:eastAsia="Tahoma" w:hAnsi="Tahoma"/>
          <w:sz w:val="28"/>
          <w:szCs w:val="28"/>
          <w:rtl w:val="0"/>
        </w:rPr>
        <w:t xml:space="preserve">Je tiens également à remercier notre aimable Secrétaire général de l’Organisation mondiale des douanes, le Dr Kunio Mikuriya, de s’être joint à nous à Banjul.  La</w:t>
      </w:r>
      <w:r w:rsidDel="00000000" w:rsidR="00000000" w:rsidRPr="00000000">
        <w:rPr>
          <w:rFonts w:ascii="Tahoma" w:cs="Tahoma" w:eastAsia="Tahoma" w:hAnsi="Tahoma"/>
          <w:sz w:val="28"/>
          <w:szCs w:val="28"/>
          <w:rtl w:val="0"/>
        </w:rPr>
        <w:t xml:space="preserve"> 29e Conférence des directeurs généraux de l’Afrique de l’Ouest et de l’Afrique centrale est unique parce que le mandat du Secrétaire général prendra fin d’ici la prochaine session des Politiques et du Conseil en décembre 2023. Je veux profiter de l’occasion pour l’apprécier pour son style de leadership axé sur l’inclusion et la diversité. Dans son administration, le continent africain a été pleinement engagé dans les programmes de l’OMD dans de nombreux comités stratégiques et de première ligne. Certains de ses principaux programmes de développement et outils de gouvernance qui ont créé et accru les possibilités de participation du continent comprennent l’augmentation du nombre de postes d’agents techniques et d’associés professionnels dans la région et l’obtention de fonds pour diverses initiatives de sécurité régionale. Il est pertinent de mentionner que l’un de ces programmes est la Conférence mondiale de l’OMD sur les frontières fragiles qui s’est tenue à Abuja du 31 janvier au 2 février 2023. Notant l’occurrence de l’insurrection, du banditisme et du terrorisme dans notre région, cette conférence a été une expérience enrichissante pour le Nigeria et la région de l’Afrique de l’Ouest et centrale. Nous vous sommes très reconnaissants.     </w:t>
      </w:r>
    </w:p>
    <w:p w:rsidR="00000000" w:rsidDel="00000000" w:rsidP="00000000" w:rsidRDefault="00000000" w:rsidRPr="00000000" w14:paraId="00000024">
      <w:pPr>
        <w:spacing w:line="360" w:lineRule="auto"/>
        <w:jc w:val="both"/>
        <w:rPr>
          <w:rFonts w:ascii="Tahoma" w:cs="Tahoma" w:eastAsia="Tahoma" w:hAnsi="Tahoma"/>
          <w:sz w:val="28"/>
          <w:szCs w:val="28"/>
        </w:rPr>
      </w:pPr>
      <w:r w:rsidDel="00000000" w:rsidR="00000000" w:rsidRPr="00000000">
        <w:rPr>
          <w:rtl w:val="0"/>
        </w:rPr>
      </w:r>
    </w:p>
    <w:p w:rsidR="00000000" w:rsidDel="00000000" w:rsidP="00000000" w:rsidRDefault="00000000" w:rsidRPr="00000000" w14:paraId="00000025">
      <w:pPr>
        <w:spacing w:line="360" w:lineRule="auto"/>
        <w:jc w:val="both"/>
        <w:rPr>
          <w:rFonts w:ascii="Tahoma" w:cs="Tahoma" w:eastAsia="Tahoma" w:hAnsi="Tahoma"/>
          <w:b w:val="1"/>
          <w:sz w:val="28"/>
          <w:szCs w:val="28"/>
        </w:rPr>
      </w:pPr>
      <w:r w:rsidDel="00000000" w:rsidR="00000000" w:rsidRPr="00000000">
        <w:rPr>
          <w:rFonts w:ascii="Tahoma" w:cs="Tahoma" w:eastAsia="Tahoma" w:hAnsi="Tahoma"/>
          <w:sz w:val="28"/>
          <w:szCs w:val="28"/>
          <w:rtl w:val="0"/>
        </w:rPr>
        <w:t xml:space="preserve">5.</w:t>
        <w:tab/>
        <w:t xml:space="preserve">Il s’agit de la première Conférence des directeurs généraux que je dirigerai à titre de vice-président de la Région de l’Afrique de l’Ouest et du Centre. Au cours de la dernière année, j’ai bénéficié d’un appui et d’une coopération extraordinaires de votre part à tous. Merci beaucoup de maintenir l’esprit d’équipe et de veiller à faire progresser notre région. Ensemble, nous travaillons au déploiement des meilleures ressources et des meilleurs outils pour diriger les affaires régionales grâce à une plateforme transparente et efficace pour une prestation de services efficace.</w:t>
      </w:r>
      <w:r w:rsidDel="00000000" w:rsidR="00000000" w:rsidRPr="00000000">
        <w:rPr>
          <w:rFonts w:ascii="Tahoma" w:cs="Tahoma" w:eastAsia="Tahoma" w:hAnsi="Tahoma"/>
          <w:b w:val="1"/>
          <w:sz w:val="28"/>
          <w:szCs w:val="28"/>
          <w:rtl w:val="0"/>
        </w:rPr>
        <w:t xml:space="preserv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1"/>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6.   Comme d’habitude, le thème de la Conférence est le même que celui des années de la Journée internationale des douanes (</w:t>
      </w:r>
      <w:r w:rsidDel="00000000" w:rsidR="00000000" w:rsidRPr="00000000">
        <w:rPr>
          <w:rFonts w:ascii="Tahoma" w:cs="Tahoma" w:eastAsia="Tahoma" w:hAnsi="Tahoma"/>
          <w:sz w:val="28"/>
          <w:szCs w:val="28"/>
          <w:rtl w:val="0"/>
        </w:rPr>
        <w:t xml:space="preserve">JID</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 de l’OMD, «</w:t>
      </w: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0"/>
        </w:rPr>
        <w:t xml:space="preserve"> Nourrir la prochaine génération en favorisant une culture de partage des connaissances et de fierté professionnelle dans les douanes ».</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 Cela met l’accent sur le transfert des connaissances et de l’éthique professionnelle des douanes de l’ancienne génération et de la génération sortante à la nouvelle génération. Je tiens à féliciter le Secrétaire général pour ce thème bien réfléchi. Il est opportun et louable.</w:t>
      </w:r>
      <w:r w:rsidDel="00000000" w:rsidR="00000000" w:rsidRPr="00000000">
        <w:rPr>
          <w:rtl w:val="0"/>
        </w:rPr>
      </w:r>
    </w:p>
    <w:p w:rsidR="00000000" w:rsidDel="00000000" w:rsidP="00000000" w:rsidRDefault="00000000" w:rsidRPr="00000000" w14:paraId="00000028">
      <w:pPr>
        <w:spacing w:line="360" w:lineRule="auto"/>
        <w:jc w:val="both"/>
        <w:rPr>
          <w:rFonts w:ascii="Tahoma" w:cs="Tahoma" w:eastAsia="Tahoma" w:hAnsi="Tahoma"/>
          <w:b w:val="1"/>
          <w:sz w:val="28"/>
          <w:szCs w:val="28"/>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7.</w:t>
        <w:tab/>
        <w:t xml:space="preserve">Comme nous le savons tous, la région est confrontée à des défis tels que l’insurrection et l’insécurité, la crise économique, la numérisation incomplète des processus douaniers. D’autres comprennent une mauvaise infrastructure, le non-respect de la réglementation et des procédures douanières par les commerçants et une infrastructure de renforcement des capacités inadéquate, entre autres, qui affectent notre rôle d’agents des douanes. Par conséquent, c’est le moment de démontrer notre capacité à soutenir les initiatives multilatérales qui sont bénéfiques à notre objectif collectif de construire une formidable plateforme intégrée pour les douanes dans la région.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8.</w:t>
        <w:tab/>
        <w:t xml:space="preserve">Cela serait mieux soutenu par notre nouvelle échelle de contribution régionale, basée sur le produit intérieur brut (PIB). Les réponses sont très encourageantes puisque certains pays ont envoyé leurs preuves d’opérations de transfert. Les entités régionales, le Bureau régional du renforcement des capacités (</w:t>
      </w:r>
      <w:r w:rsidDel="00000000" w:rsidR="00000000" w:rsidRPr="00000000">
        <w:rPr>
          <w:rFonts w:ascii="Tahoma" w:cs="Tahoma" w:eastAsia="Tahoma" w:hAnsi="Tahoma"/>
          <w:sz w:val="28"/>
          <w:szCs w:val="28"/>
          <w:rtl w:val="0"/>
        </w:rPr>
        <w:t xml:space="preserve">BRRC</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 le Bureau régional de liaison du renseignement (</w:t>
      </w:r>
      <w:r w:rsidDel="00000000" w:rsidR="00000000" w:rsidRPr="00000000">
        <w:rPr>
          <w:rFonts w:ascii="Tahoma" w:cs="Tahoma" w:eastAsia="Tahoma" w:hAnsi="Tahoma"/>
          <w:sz w:val="28"/>
          <w:szCs w:val="28"/>
          <w:rtl w:val="0"/>
        </w:rPr>
        <w:t xml:space="preserve">BRLR</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 les centres régionaux de formation (CR</w:t>
      </w:r>
      <w:r w:rsidDel="00000000" w:rsidR="00000000" w:rsidRPr="00000000">
        <w:rPr>
          <w:rFonts w:ascii="Tahoma" w:cs="Tahoma" w:eastAsia="Tahoma" w:hAnsi="Tahoma"/>
          <w:sz w:val="28"/>
          <w:szCs w:val="28"/>
          <w:rtl w:val="0"/>
        </w:rPr>
        <w:t xml:space="preserve">F</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 et nous tous avons un rôle à jouer dans l’atteinte de notre objectif.  Les agents, en particulier les nouveaux recrutés, devraient être encouragés à tirer parti de la plateforme d’apprentissage en ligne du CMO comme CLiCK! aider à se développer et à s’équiper.  La plateforme est gratuite pour les agents des douanes des administrations membres de l’OMD.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9.</w:t>
        <w:tab/>
        <w:t xml:space="preserve">Le Bureau régional de liaison du renseignement (</w:t>
      </w:r>
      <w:r w:rsidDel="00000000" w:rsidR="00000000" w:rsidRPr="00000000">
        <w:rPr>
          <w:rFonts w:ascii="Tahoma" w:cs="Tahoma" w:eastAsia="Tahoma" w:hAnsi="Tahoma"/>
          <w:sz w:val="28"/>
          <w:szCs w:val="28"/>
          <w:rtl w:val="0"/>
        </w:rPr>
        <w:t xml:space="preserve">BRLR</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 devrait étendre ses frontières en matière de collecte et d’échange de renseignements en améliorant ses capacités. Les centres régionaux de formation (CR</w:t>
      </w:r>
      <w:r w:rsidDel="00000000" w:rsidR="00000000" w:rsidRPr="00000000">
        <w:rPr>
          <w:rFonts w:ascii="Tahoma" w:cs="Tahoma" w:eastAsia="Tahoma" w:hAnsi="Tahoma"/>
          <w:sz w:val="28"/>
          <w:szCs w:val="28"/>
          <w:rtl w:val="0"/>
        </w:rPr>
        <w:t xml:space="preserve">F</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 devraient élaborer des programmes systématiques de formation qui amélioreraient le renforcement des capacités de la nouvelle génération d’agents.  Avec l’aide d’organismes donateurs internationaux, nous pouvons atteindre ces objectifs. Les efforts des administrations douanières pour renforcer les capacités et assurer la participation aux projets de formation aidés par l’OMD sont primordiaux.  Il est de notre responsabilité collective à cette Conférence d’élaborer des mécanismes concrets pour la réalisation des objectifs de connaissance et de culture professionnelle pour la prochaine génération de Douanes dans la région.</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F">
      <w:pPr>
        <w:spacing w:line="360" w:lineRule="auto"/>
        <w:jc w:val="both"/>
        <w:rPr>
          <w:rFonts w:ascii="Tahoma" w:cs="Tahoma" w:eastAsia="Tahoma" w:hAnsi="Tahoma"/>
          <w:sz w:val="28"/>
          <w:szCs w:val="28"/>
        </w:rPr>
      </w:pPr>
      <w:r w:rsidDel="00000000" w:rsidR="00000000" w:rsidRPr="00000000">
        <w:rPr>
          <w:rFonts w:ascii="Tahoma" w:cs="Tahoma" w:eastAsia="Tahoma" w:hAnsi="Tahoma"/>
          <w:sz w:val="28"/>
          <w:szCs w:val="28"/>
          <w:rtl w:val="0"/>
        </w:rPr>
        <w:t xml:space="preserve">10.</w:t>
        <w:tab/>
        <w:t xml:space="preserve"> Nous apprécions le soutien de nos partenaires de développement dans nos efforts pour construire des administrations douanières modernes. Nous reconnaissons les progrès que nous avons enregistrés en travaillant avec vous dans différents pays. Nous continuerons toutefois de solliciter votre participation dans un certain nombre d’autres domaines. Cela comprend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un.</w:t>
        <w:tab/>
        <w:t xml:space="preserve">Développer des stratégies systématiques de partage des connaissances et créer des plateformes pour cela. </w:t>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    Stratégies efficaces et efficientes pour l’utilisation de l’existant</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Centres régionaux de formation.</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c.</w:t>
        <w:tab/>
        <w:t xml:space="preserve">Compréhension commune des problèmes opérationnels posés par nos frontières fragiles et collaboration avec l’OMD dans le cadre d’engagements continus pour relever le défi émergent.</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d.</w:t>
        <w:tab/>
        <w:t xml:space="preserve">L’élaboration de programmes d’intégrité visant à inculquer professionnalisme et transparence à la nouvelle génération d’officiers.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11.</w:t>
        <w:tab/>
        <w:t xml:space="preserve">Nous profiterions de cette conférence pour discuter du potentiel inexploité de la région afin d’améliorer les domaines de gouvernance comme la mesure du rendement et de l’impact. Nous espérons que cela améliorera l’utilisation efficace et efficiente de nos entités régionales en collaboration avec nos intervenants aux divers niveaux de nos activités pour atteindre la durabilité de nos objectifs.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12.</w:t>
        <w:tab/>
        <w:t xml:space="preserve">Je souhaite chaleureusement la bienvenue à nos partenaires du développement ici présents et je les implore de proposer des initiatives qui aideraient la région à élaborer des stratégies transparentes et efficaces pour une meilleure prestation de services pour répondre aux préoccupations brûlantes.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sz w:val="28"/>
          <w:szCs w:val="28"/>
          <w:rtl w:val="0"/>
        </w:rPr>
        <w:t xml:space="preserve"> </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13.</w:t>
        <w:tab/>
        <w:t xml:space="preserve">Encore une fois, je vous remercie tous d’être venus. Allah le </w:t>
      </w:r>
      <w:r w:rsidDel="00000000" w:rsidR="00000000" w:rsidRPr="00000000">
        <w:rPr>
          <w:rFonts w:ascii="Tahoma" w:cs="Tahoma" w:eastAsia="Tahoma" w:hAnsi="Tahoma"/>
          <w:sz w:val="28"/>
          <w:szCs w:val="28"/>
          <w:rtl w:val="0"/>
        </w:rPr>
        <w:t xml:space="preserve">T</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out-</w:t>
      </w:r>
      <w:r w:rsidDel="00000000" w:rsidR="00000000" w:rsidRPr="00000000">
        <w:rPr>
          <w:rFonts w:ascii="Tahoma" w:cs="Tahoma" w:eastAsia="Tahoma" w:hAnsi="Tahoma"/>
          <w:sz w:val="28"/>
          <w:szCs w:val="28"/>
          <w:rtl w:val="0"/>
        </w:rPr>
        <w:t xml:space="preserve">P</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uissant vous bénit.</w:t>
      </w:r>
    </w:p>
    <w:p w:rsidR="00000000" w:rsidDel="00000000" w:rsidP="00000000" w:rsidRDefault="00000000" w:rsidRPr="00000000" w14:paraId="0000003B">
      <w:pPr>
        <w:spacing w:line="360" w:lineRule="auto"/>
        <w:jc w:val="both"/>
        <w:rPr>
          <w:rFonts w:ascii="Tahoma" w:cs="Tahoma" w:eastAsia="Tahoma" w:hAnsi="Tahoma"/>
          <w:sz w:val="28"/>
          <w:szCs w:val="28"/>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RESTREINT</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RESTREINT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decimal"/>
      <w:lvlText w:val="%1."/>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decimal"/>
      <w:lvlText w:val="%1."/>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2"/>
      <w:numFmt w:val="decimal"/>
      <w:lvlText w:val="%1."/>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2"/>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ind w:left="0" w:firstLine="0"/>
    </w:pPr>
    <w:rPr>
      <w:rFonts w:ascii="Cambria" w:cs="Cambria" w:eastAsia="Cambria" w:hAnsi="Cambria"/>
      <w:color w:val="365f90"/>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200" w:line="276" w:lineRule="auto"/>
    </w:pPr>
    <w:rPr>
      <w:rFonts w:ascii="Calibri" w:cs="Calibri" w:eastAsia="Calibri" w:hAnsi="Calibri"/>
      <w:sz w:val="22"/>
      <w:szCs w:val="22"/>
      <w:lang w:bidi="ar-SA" w:eastAsia="zh-CN" w:val="en-US"/>
    </w:rPr>
  </w:style>
  <w:style w:type="paragraph" w:styleId="Heading1">
    <w:name w:val="heading 1"/>
    <w:basedOn w:val="Normal"/>
    <w:next w:val="Normal"/>
    <w:uiPriority w:val="9"/>
    <w:qFormat w:val="1"/>
    <w:pPr>
      <w:keepNext w:val="1"/>
      <w:keepLines w:val="1"/>
      <w:numPr>
        <w:numId w:val="1"/>
      </w:numPr>
      <w:spacing w:after="0" w:before="240"/>
      <w:outlineLvl w:val="0"/>
    </w:pPr>
    <w:rPr>
      <w:rFonts w:ascii="Cambria" w:cs="Cambria" w:hAnsi="Cambria"/>
      <w:color w:val="365f90"/>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WW8Num1z0" w:customStyle="1">
    <w:name w:val="WW8Num1z0"/>
    <w:qFormat w:val="1"/>
    <w:rPr>
      <w:rFonts w:ascii="Symbol" w:cs="Symbol" w:hAnsi="Symbol"/>
    </w:rPr>
  </w:style>
  <w:style w:type="character" w:styleId="WW8Num1z1" w:customStyle="1">
    <w:name w:val="WW8Num1z1"/>
    <w:qFormat w:val="1"/>
    <w:rPr>
      <w:rFonts w:ascii="Courier New" w:cs="Courier New" w:hAnsi="Courier New"/>
    </w:rPr>
  </w:style>
  <w:style w:type="character" w:styleId="WW8Num1z2" w:customStyle="1">
    <w:name w:val="WW8Num1z2"/>
    <w:qFormat w:val="1"/>
    <w:rPr>
      <w:rFonts w:ascii="Wingdings" w:cs="Wingdings" w:hAnsi="Wingdings"/>
    </w:rPr>
  </w:style>
  <w:style w:type="character" w:styleId="WW8Num2z0" w:customStyle="1">
    <w:name w:val="WW8Num2z0"/>
    <w:qFormat w:val="1"/>
  </w:style>
  <w:style w:type="character" w:styleId="BalloonTextChar" w:customStyle="1">
    <w:name w:val="Balloon Text Char"/>
    <w:qFormat w:val="1"/>
    <w:rPr>
      <w:rFonts w:ascii="Segoe UI" w:cs="Segoe UI" w:hAnsi="Segoe UI"/>
      <w:sz w:val="18"/>
      <w:szCs w:val="18"/>
    </w:rPr>
  </w:style>
  <w:style w:type="character" w:styleId="HeaderChar" w:customStyle="1">
    <w:name w:val="Header Char"/>
    <w:basedOn w:val="DefaultParagraphFont"/>
    <w:qFormat w:val="1"/>
  </w:style>
  <w:style w:type="character" w:styleId="Heading1Char" w:customStyle="1">
    <w:name w:val="Heading 1 Char"/>
    <w:qFormat w:val="1"/>
    <w:rPr>
      <w:rFonts w:ascii="Cambria" w:cs="Cambria" w:hAnsi="Cambria"/>
      <w:color w:val="365f90"/>
      <w:sz w:val="32"/>
      <w:szCs w:val="32"/>
    </w:rPr>
  </w:style>
  <w:style w:type="character" w:styleId="FooterChar" w:customStyle="1">
    <w:name w:val="Footer Char"/>
    <w:basedOn w:val="DefaultParagraphFont"/>
    <w:qFormat w:val="1"/>
  </w:style>
  <w:style w:type="paragraph" w:styleId="Heading" w:customStyle="1">
    <w:name w:val="Heading"/>
    <w:basedOn w:val="Normal"/>
    <w:next w:val="BodyText"/>
    <w:qFormat w:val="1"/>
    <w:pPr>
      <w:keepNext w:val="1"/>
      <w:spacing w:after="120" w:before="240"/>
    </w:pPr>
    <w:rPr>
      <w:rFonts w:ascii="Arial" w:cs="Arial" w:eastAsia="Microsoft YaHei" w:hAnsi="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val="1"/>
    <w:pPr>
      <w:suppressLineNumbers w:val="1"/>
      <w:spacing w:after="120" w:before="120"/>
    </w:pPr>
    <w:rPr>
      <w:rFonts w:cs="Arial"/>
      <w:i w:val="1"/>
      <w:iCs w:val="1"/>
      <w:sz w:val="24"/>
      <w:szCs w:val="24"/>
    </w:rPr>
  </w:style>
  <w:style w:type="paragraph" w:styleId="Index" w:customStyle="1">
    <w:name w:val="Index"/>
    <w:basedOn w:val="Normal"/>
    <w:qFormat w:val="1"/>
    <w:pPr>
      <w:suppressLineNumbers w:val="1"/>
    </w:pPr>
    <w:rPr>
      <w:rFonts w:cs="Arial"/>
    </w:rPr>
  </w:style>
  <w:style w:type="paragraph" w:styleId="BalloonText">
    <w:name w:val="Balloon Text"/>
    <w:basedOn w:val="Normal"/>
    <w:qFormat w:val="1"/>
    <w:pPr>
      <w:spacing w:after="0" w:line="240" w:lineRule="auto"/>
    </w:pPr>
    <w:rPr>
      <w:rFonts w:ascii="Segoe UI" w:cs="Segoe UI" w:hAnsi="Segoe UI"/>
      <w:sz w:val="18"/>
      <w:szCs w:val="18"/>
    </w:rPr>
  </w:style>
  <w:style w:type="paragraph" w:styleId="HeaderandFooter" w:customStyle="1">
    <w:name w:val="Header and Footer"/>
    <w:basedOn w:val="Normal"/>
    <w:qFormat w:val="1"/>
    <w:pPr>
      <w:suppressLineNumbers w:val="1"/>
      <w:tabs>
        <w:tab w:val="center" w:pos="4986"/>
        <w:tab w:val="right" w:pos="9972"/>
      </w:tabs>
    </w:pPr>
  </w:style>
  <w:style w:type="paragraph" w:styleId="Footer">
    <w:name w:val="footer"/>
    <w:basedOn w:val="Normal"/>
    <w:pPr>
      <w:tabs>
        <w:tab w:val="center" w:pos="4680"/>
        <w:tab w:val="right" w:pos="9360"/>
      </w:tabs>
      <w:spacing w:after="0" w:line="240" w:lineRule="auto"/>
    </w:pPr>
  </w:style>
  <w:style w:type="paragraph" w:styleId="Header">
    <w:name w:val="header"/>
    <w:basedOn w:val="Normal"/>
    <w:pPr>
      <w:tabs>
        <w:tab w:val="center" w:pos="4680"/>
        <w:tab w:val="right" w:pos="9360"/>
      </w:tabs>
      <w:spacing w:after="0" w:line="240" w:lineRule="auto"/>
    </w:pPr>
  </w:style>
  <w:style w:type="paragraph" w:styleId="NoSpacing">
    <w:name w:val="No Spacing"/>
    <w:qFormat w:val="1"/>
    <w:rPr>
      <w:rFonts w:ascii="Calibri" w:cs="Calibri" w:eastAsia="Calibri" w:hAnsi="Calibri"/>
      <w:sz w:val="22"/>
      <w:szCs w:val="22"/>
      <w:lang w:bidi="ar-SA" w:eastAsia="zh-CN" w:val="en-US"/>
    </w:rPr>
  </w:style>
  <w:style w:type="numbering" w:styleId="WW8Num1" w:customStyle="1">
    <w:name w:val="WW8Num1"/>
    <w:qFormat w:val="1"/>
  </w:style>
  <w:style w:type="numbering" w:styleId="WW8Num2" w:customStyle="1">
    <w:name w:val="WW8Num2"/>
    <w:qFormat w:val="1"/>
  </w:style>
  <w:style w:type="numbering" w:styleId="WW8Num3" w:customStyle="1">
    <w:name w:val="WW8Num3"/>
    <w:qFormat w:val="1"/>
  </w:style>
  <w:style w:type="numbering" w:styleId="WW8Num4" w:customStyle="1">
    <w:name w:val="WW8Num4"/>
    <w:qFormat w:val="1"/>
  </w:style>
  <w:style w:type="numbering" w:styleId="WW8Num5" w:customStyle="1">
    <w:name w:val="WW8Num5"/>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wAZcjWQC9lpNlOGcLfTWo45TddA==">AMUW2mUUpls1IHnqf4Jp5b6Jrl9nWPVaj/NS9F0iUoqQ0KbT2R26O6c/KNjyhnJa6m+0JretamnYw1I2AO//k9aUvlt6dB4eIBcblKJqWCaOZ1ELSN8rYQg=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2023-05-04T11:13:00Z</dcterms:created>
  <dc:creator>MR OLATUNDE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1033-9.1.0.4246</vt:lpwstr>
  </property>
</Properties>
</file>